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56" w:rsidRDefault="00DA56BB" w:rsidP="008A22C6">
      <w:bookmarkStart w:id="0" w:name="_GoBack"/>
      <w:r>
        <w:rPr>
          <w:noProof/>
          <w:lang w:eastAsia="en-GB"/>
        </w:rPr>
        <w:drawing>
          <wp:inline distT="0" distB="0" distL="0" distR="0" wp14:anchorId="75AA96D7" wp14:editId="6F63FC5B">
            <wp:extent cx="9686925" cy="63341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30356" w:rsidRDefault="00883341" w:rsidP="008A22C6">
      <w:r>
        <w:rPr>
          <w:noProof/>
          <w:lang w:eastAsia="en-GB"/>
        </w:rPr>
        <w:lastRenderedPageBreak/>
        <w:drawing>
          <wp:inline distT="0" distB="0" distL="0" distR="0" wp14:anchorId="419D213A" wp14:editId="4410976B">
            <wp:extent cx="9734550" cy="63722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0356" w:rsidRDefault="00E30356" w:rsidP="008A22C6"/>
    <w:p w:rsidR="00E30356" w:rsidRDefault="003B23BA" w:rsidP="008A22C6">
      <w:r>
        <w:rPr>
          <w:noProof/>
          <w:lang w:eastAsia="en-GB"/>
        </w:rPr>
        <w:lastRenderedPageBreak/>
        <w:drawing>
          <wp:inline distT="0" distB="0" distL="0" distR="0" wp14:anchorId="73AA2786" wp14:editId="645877D5">
            <wp:extent cx="9715500" cy="655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0356" w:rsidRDefault="0063787F" w:rsidP="008A22C6">
      <w:r>
        <w:rPr>
          <w:noProof/>
          <w:lang w:eastAsia="en-GB"/>
        </w:rPr>
        <w:lastRenderedPageBreak/>
        <w:drawing>
          <wp:inline distT="0" distB="0" distL="0" distR="0" wp14:anchorId="0C5B6FEB" wp14:editId="73F5FE07">
            <wp:extent cx="9763125" cy="65817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0356" w:rsidRDefault="00DA4778" w:rsidP="008A22C6">
      <w:r>
        <w:rPr>
          <w:noProof/>
          <w:lang w:eastAsia="en-GB"/>
        </w:rPr>
        <w:lastRenderedPageBreak/>
        <w:drawing>
          <wp:inline distT="0" distB="0" distL="0" distR="0" wp14:anchorId="55B8CF6F" wp14:editId="1B34CC69">
            <wp:extent cx="9791700" cy="65722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0356" w:rsidRDefault="0071340F" w:rsidP="008A22C6">
      <w:r>
        <w:rPr>
          <w:noProof/>
          <w:lang w:eastAsia="en-GB"/>
        </w:rPr>
        <w:lastRenderedPageBreak/>
        <w:drawing>
          <wp:inline distT="0" distB="0" distL="0" distR="0" wp14:anchorId="5994064E" wp14:editId="77A8E833">
            <wp:extent cx="9791700" cy="66389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0356" w:rsidRDefault="0067787F" w:rsidP="008A22C6">
      <w:r>
        <w:rPr>
          <w:noProof/>
          <w:lang w:eastAsia="en-GB"/>
        </w:rPr>
        <w:lastRenderedPageBreak/>
        <w:drawing>
          <wp:inline distT="0" distB="0" distL="0" distR="0" wp14:anchorId="4E2BEE46" wp14:editId="490634E1">
            <wp:extent cx="9744075" cy="657225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0356" w:rsidRDefault="0067787F" w:rsidP="008A22C6">
      <w:r>
        <w:rPr>
          <w:noProof/>
          <w:lang w:eastAsia="en-GB"/>
        </w:rPr>
        <w:lastRenderedPageBreak/>
        <w:drawing>
          <wp:inline distT="0" distB="0" distL="0" distR="0" wp14:anchorId="221943C4" wp14:editId="211A6D60">
            <wp:extent cx="9744075" cy="66579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0356" w:rsidRPr="008A22C6" w:rsidRDefault="003B633D" w:rsidP="008A22C6">
      <w:r>
        <w:rPr>
          <w:noProof/>
          <w:lang w:eastAsia="en-GB"/>
        </w:rPr>
        <w:lastRenderedPageBreak/>
        <w:drawing>
          <wp:inline distT="0" distB="0" distL="0" distR="0" wp14:anchorId="1CA520F4" wp14:editId="1315BBE9">
            <wp:extent cx="9696450" cy="65913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30356" w:rsidRPr="008A22C6" w:rsidSect="00883341">
      <w:headerReference w:type="first" r:id="rId1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56" w:rsidRDefault="00E30356" w:rsidP="00E30356">
      <w:r>
        <w:separator/>
      </w:r>
    </w:p>
  </w:endnote>
  <w:endnote w:type="continuationSeparator" w:id="0">
    <w:p w:rsidR="00E30356" w:rsidRDefault="00E30356" w:rsidP="00E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56" w:rsidRDefault="00E30356" w:rsidP="00E30356">
      <w:r>
        <w:separator/>
      </w:r>
    </w:p>
  </w:footnote>
  <w:footnote w:type="continuationSeparator" w:id="0">
    <w:p w:rsidR="00E30356" w:rsidRDefault="00E30356" w:rsidP="00E3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41" w:rsidRPr="00883341" w:rsidRDefault="00883341" w:rsidP="008A4CA3">
    <w:pPr>
      <w:pStyle w:val="Header"/>
      <w:ind w:left="720"/>
      <w:rPr>
        <w:b/>
      </w:rPr>
    </w:pPr>
    <w:r w:rsidRPr="00883341">
      <w:rPr>
        <w:b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0"/>
    <w:rsid w:val="000B4310"/>
    <w:rsid w:val="00203DE8"/>
    <w:rsid w:val="003B23BA"/>
    <w:rsid w:val="003B633D"/>
    <w:rsid w:val="003D1347"/>
    <w:rsid w:val="004000D7"/>
    <w:rsid w:val="004840A9"/>
    <w:rsid w:val="00504E43"/>
    <w:rsid w:val="0063787F"/>
    <w:rsid w:val="00677782"/>
    <w:rsid w:val="0067787F"/>
    <w:rsid w:val="00712320"/>
    <w:rsid w:val="0071340F"/>
    <w:rsid w:val="007908F4"/>
    <w:rsid w:val="008130B8"/>
    <w:rsid w:val="00883341"/>
    <w:rsid w:val="008A22C6"/>
    <w:rsid w:val="008A4CA3"/>
    <w:rsid w:val="00A04530"/>
    <w:rsid w:val="00AC4610"/>
    <w:rsid w:val="00C07F80"/>
    <w:rsid w:val="00D81203"/>
    <w:rsid w:val="00DA4778"/>
    <w:rsid w:val="00DA56BB"/>
    <w:rsid w:val="00E20D35"/>
    <w:rsid w:val="00E30356"/>
    <w:rsid w:val="00ED299B"/>
    <w:rsid w:val="00F806EA"/>
    <w:rsid w:val="00FA5D00"/>
    <w:rsid w:val="00FD3A85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56"/>
  </w:style>
  <w:style w:type="paragraph" w:styleId="Footer">
    <w:name w:val="footer"/>
    <w:basedOn w:val="Normal"/>
    <w:link w:val="FooterChar"/>
    <w:uiPriority w:val="99"/>
    <w:unhideWhenUsed/>
    <w:rsid w:val="00E30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56"/>
  </w:style>
  <w:style w:type="paragraph" w:styleId="BalloonText">
    <w:name w:val="Balloon Text"/>
    <w:basedOn w:val="Normal"/>
    <w:link w:val="BalloonTextChar"/>
    <w:uiPriority w:val="99"/>
    <w:semiHidden/>
    <w:unhideWhenUsed/>
    <w:rsid w:val="00E3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56"/>
  </w:style>
  <w:style w:type="paragraph" w:styleId="Footer">
    <w:name w:val="footer"/>
    <w:basedOn w:val="Normal"/>
    <w:link w:val="FooterChar"/>
    <w:uiPriority w:val="99"/>
    <w:unhideWhenUsed/>
    <w:rsid w:val="00E30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56"/>
  </w:style>
  <w:style w:type="paragraph" w:styleId="BalloonText">
    <w:name w:val="Balloon Text"/>
    <w:basedOn w:val="Normal"/>
    <w:link w:val="BalloonTextChar"/>
    <w:uiPriority w:val="99"/>
    <w:semiHidden/>
    <w:unhideWhenUsed/>
    <w:rsid w:val="00E3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Legal-&amp;-Committee-Services\CoMother\Scrutiny%20Committee\Equality%20and%20Diversity\Statistics%20and%20analysis\Figure%20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Figure 1: The degree of </a:t>
            </a:r>
            <a:r>
              <a:rPr lang="en-US" sz="1800" baseline="0"/>
              <a:t>representation of different </a:t>
            </a:r>
            <a:r>
              <a:rPr lang="en-US" sz="1800"/>
              <a:t>ethnic groups on the Council workforce  based on the Oxford population</a:t>
            </a:r>
          </a:p>
        </c:rich>
      </c:tx>
      <c:layout>
        <c:manualLayout>
          <c:xMode val="edge"/>
          <c:yMode val="edge"/>
          <c:x val="0.1558815856859356"/>
          <c:y val="9.039548022598870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5371389785716"/>
          <c:y val="0.11090324235786317"/>
          <c:w val="0.66623949292474138"/>
          <c:h val="0.45039701616245337"/>
        </c:manualLayout>
      </c:layout>
      <c:barChart>
        <c:barDir val="col"/>
        <c:grouping val="clustered"/>
        <c:varyColors val="0"/>
        <c:ser>
          <c:idx val="1"/>
          <c:order val="0"/>
          <c:tx>
            <c:v>Oxford population 2011 census</c:v>
          </c:tx>
          <c:spPr>
            <a:solidFill>
              <a:schemeClr val="accent2"/>
            </a:solidFill>
          </c:spPr>
          <c:invertIfNegative val="0"/>
          <c:cat>
            <c:strRef>
              <c:f>'2011data'!$C$8:$C$26</c:f>
              <c:strCache>
                <c:ptCount val="19"/>
                <c:pt idx="0">
                  <c:v>White: British</c:v>
                </c:pt>
                <c:pt idx="1">
                  <c:v>White: Irish</c:v>
                </c:pt>
                <c:pt idx="2">
                  <c:v>White: Gypsy or Irish Traveller</c:v>
                </c:pt>
                <c:pt idx="3">
                  <c:v>White: Other White</c:v>
                </c:pt>
                <c:pt idx="4">
                  <c:v>Mixed/multiple ethnic group: White and Black Caribbean</c:v>
                </c:pt>
                <c:pt idx="5">
                  <c:v>Mixed/multiple ethnic group: White and Black African</c:v>
                </c:pt>
                <c:pt idx="6">
                  <c:v>Mixed/multiple ethnic group: White and Asian</c:v>
                </c:pt>
                <c:pt idx="7">
                  <c:v>Mixed/multiple ethnic group: Other Mixed</c:v>
                </c:pt>
                <c:pt idx="8">
                  <c:v>Asian/Asian British: Indian</c:v>
                </c:pt>
                <c:pt idx="9">
                  <c:v>Asian/Asian British: Pakistani</c:v>
                </c:pt>
                <c:pt idx="10">
                  <c:v>Asian/Asian British: Bangladeshi</c:v>
                </c:pt>
                <c:pt idx="11">
                  <c:v>Asian/Asian British: Chinese</c:v>
                </c:pt>
                <c:pt idx="12">
                  <c:v>Asian/Asian British: Other Asian</c:v>
                </c:pt>
                <c:pt idx="13">
                  <c:v>Black/African/Caribbean/Black British: African</c:v>
                </c:pt>
                <c:pt idx="14">
                  <c:v>Black/African/Caribbean/Black British: Caribbean</c:v>
                </c:pt>
                <c:pt idx="15">
                  <c:v>Black/African/Caribbean/Black British: Other Black</c:v>
                </c:pt>
                <c:pt idx="16">
                  <c:v>Other ethnic group: Arab</c:v>
                </c:pt>
                <c:pt idx="17">
                  <c:v>Other ethnic group: Any other ethnic group</c:v>
                </c:pt>
                <c:pt idx="18">
                  <c:v>Unknown / prefer not to say</c:v>
                </c:pt>
              </c:strCache>
            </c:strRef>
          </c:cat>
          <c:val>
            <c:numRef>
              <c:f>'2011data'!$E$8:$E$26</c:f>
              <c:numCache>
                <c:formatCode>0.0</c:formatCode>
                <c:ptCount val="19"/>
                <c:pt idx="0">
                  <c:v>63.613682145537375</c:v>
                </c:pt>
                <c:pt idx="1">
                  <c:v>1.6003317841296592</c:v>
                </c:pt>
                <c:pt idx="2">
                  <c:v>6.0563769699682704E-2</c:v>
                </c:pt>
                <c:pt idx="3">
                  <c:v>12.376732979605809</c:v>
                </c:pt>
                <c:pt idx="4">
                  <c:v>1.1329374744908036</c:v>
                </c:pt>
                <c:pt idx="5">
                  <c:v>0.46278619672692323</c:v>
                </c:pt>
                <c:pt idx="6">
                  <c:v>1.3218701038800311</c:v>
                </c:pt>
                <c:pt idx="7">
                  <c:v>1.0552578568325148</c:v>
                </c:pt>
                <c:pt idx="8">
                  <c:v>2.928784906455308</c:v>
                </c:pt>
                <c:pt idx="9">
                  <c:v>3.1763064000105325</c:v>
                </c:pt>
                <c:pt idx="10">
                  <c:v>1.1790186036101273</c:v>
                </c:pt>
                <c:pt idx="11">
                  <c:v>2.3428962647953337</c:v>
                </c:pt>
                <c:pt idx="12">
                  <c:v>2.7668426526931129</c:v>
                </c:pt>
                <c:pt idx="13">
                  <c:v>2.9333930193672404</c:v>
                </c:pt>
                <c:pt idx="14">
                  <c:v>1.233657656708754</c:v>
                </c:pt>
                <c:pt idx="15">
                  <c:v>0.45949468750411437</c:v>
                </c:pt>
                <c:pt idx="16">
                  <c:v>0.60695430068595058</c:v>
                </c:pt>
                <c:pt idx="17">
                  <c:v>0.74848919726673069</c:v>
                </c:pt>
                <c:pt idx="18">
                  <c:v>0</c:v>
                </c:pt>
              </c:numCache>
            </c:numRef>
          </c:val>
        </c:ser>
        <c:ser>
          <c:idx val="3"/>
          <c:order val="1"/>
          <c:tx>
            <c:v>Council workforce Dec 2015</c:v>
          </c:tx>
          <c:spPr>
            <a:solidFill>
              <a:schemeClr val="accent3"/>
            </a:solidFill>
          </c:spPr>
          <c:invertIfNegative val="0"/>
          <c:cat>
            <c:strRef>
              <c:f>'2011data'!$C$8:$C$26</c:f>
              <c:strCache>
                <c:ptCount val="19"/>
                <c:pt idx="0">
                  <c:v>White: British</c:v>
                </c:pt>
                <c:pt idx="1">
                  <c:v>White: Irish</c:v>
                </c:pt>
                <c:pt idx="2">
                  <c:v>White: Gypsy or Irish Traveller</c:v>
                </c:pt>
                <c:pt idx="3">
                  <c:v>White: Other White</c:v>
                </c:pt>
                <c:pt idx="4">
                  <c:v>Mixed/multiple ethnic group: White and Black Caribbean</c:v>
                </c:pt>
                <c:pt idx="5">
                  <c:v>Mixed/multiple ethnic group: White and Black African</c:v>
                </c:pt>
                <c:pt idx="6">
                  <c:v>Mixed/multiple ethnic group: White and Asian</c:v>
                </c:pt>
                <c:pt idx="7">
                  <c:v>Mixed/multiple ethnic group: Other Mixed</c:v>
                </c:pt>
                <c:pt idx="8">
                  <c:v>Asian/Asian British: Indian</c:v>
                </c:pt>
                <c:pt idx="9">
                  <c:v>Asian/Asian British: Pakistani</c:v>
                </c:pt>
                <c:pt idx="10">
                  <c:v>Asian/Asian British: Bangladeshi</c:v>
                </c:pt>
                <c:pt idx="11">
                  <c:v>Asian/Asian British: Chinese</c:v>
                </c:pt>
                <c:pt idx="12">
                  <c:v>Asian/Asian British: Other Asian</c:v>
                </c:pt>
                <c:pt idx="13">
                  <c:v>Black/African/Caribbean/Black British: African</c:v>
                </c:pt>
                <c:pt idx="14">
                  <c:v>Black/African/Caribbean/Black British: Caribbean</c:v>
                </c:pt>
                <c:pt idx="15">
                  <c:v>Black/African/Caribbean/Black British: Other Black</c:v>
                </c:pt>
                <c:pt idx="16">
                  <c:v>Other ethnic group: Arab</c:v>
                </c:pt>
                <c:pt idx="17">
                  <c:v>Other ethnic group: Any other ethnic group</c:v>
                </c:pt>
                <c:pt idx="18">
                  <c:v>Unknown / prefer not to say</c:v>
                </c:pt>
              </c:strCache>
            </c:strRef>
          </c:cat>
          <c:val>
            <c:numRef>
              <c:f>'2011data'!$G$8:$G$26</c:f>
              <c:numCache>
                <c:formatCode>0.0</c:formatCode>
                <c:ptCount val="19"/>
                <c:pt idx="0">
                  <c:v>80.219780219780219</c:v>
                </c:pt>
                <c:pt idx="1">
                  <c:v>0.86342229199372045</c:v>
                </c:pt>
                <c:pt idx="2">
                  <c:v>0</c:v>
                </c:pt>
                <c:pt idx="3">
                  <c:v>4.8665620094191526</c:v>
                </c:pt>
                <c:pt idx="4">
                  <c:v>0.5494505494505495</c:v>
                </c:pt>
                <c:pt idx="5">
                  <c:v>0.15698587127158556</c:v>
                </c:pt>
                <c:pt idx="6">
                  <c:v>0.31397174254317112</c:v>
                </c:pt>
                <c:pt idx="7">
                  <c:v>0.86342229199372045</c:v>
                </c:pt>
                <c:pt idx="8">
                  <c:v>1.0204081632653061</c:v>
                </c:pt>
                <c:pt idx="9">
                  <c:v>0.78492935635792771</c:v>
                </c:pt>
                <c:pt idx="10">
                  <c:v>0.15698587127158556</c:v>
                </c:pt>
                <c:pt idx="11">
                  <c:v>0.5494505494505495</c:v>
                </c:pt>
                <c:pt idx="12">
                  <c:v>0.15698587127158556</c:v>
                </c:pt>
                <c:pt idx="13">
                  <c:v>1.098901098901099</c:v>
                </c:pt>
                <c:pt idx="14">
                  <c:v>1.3343799058084773</c:v>
                </c:pt>
                <c:pt idx="15">
                  <c:v>0.15698587127158556</c:v>
                </c:pt>
                <c:pt idx="16">
                  <c:v>0</c:v>
                </c:pt>
                <c:pt idx="17">
                  <c:v>0.39246467817896385</c:v>
                </c:pt>
                <c:pt idx="18">
                  <c:v>5.5729984301412872</c:v>
                </c:pt>
              </c:numCache>
            </c:numRef>
          </c:val>
        </c:ser>
        <c:ser>
          <c:idx val="0"/>
          <c:order val="2"/>
          <c:tx>
            <c:v>new starters Q3 2015-16</c:v>
          </c:tx>
          <c:spPr>
            <a:solidFill>
              <a:schemeClr val="accent4"/>
            </a:solidFill>
          </c:spPr>
          <c:invertIfNegative val="0"/>
          <c:val>
            <c:numRef>
              <c:f>'2011data'!$I$8:$I$26</c:f>
              <c:numCache>
                <c:formatCode>0.0</c:formatCode>
                <c:ptCount val="19"/>
                <c:pt idx="0">
                  <c:v>48.75</c:v>
                </c:pt>
                <c:pt idx="1">
                  <c:v>1.25</c:v>
                </c:pt>
                <c:pt idx="2">
                  <c:v>0</c:v>
                </c:pt>
                <c:pt idx="3">
                  <c:v>5</c:v>
                </c:pt>
                <c:pt idx="4">
                  <c:v>1.25</c:v>
                </c:pt>
                <c:pt idx="5">
                  <c:v>1.25</c:v>
                </c:pt>
                <c:pt idx="6">
                  <c:v>0</c:v>
                </c:pt>
                <c:pt idx="7">
                  <c:v>1.25</c:v>
                </c:pt>
                <c:pt idx="8">
                  <c:v>0</c:v>
                </c:pt>
                <c:pt idx="9">
                  <c:v>0</c:v>
                </c:pt>
                <c:pt idx="10">
                  <c:v>1.25</c:v>
                </c:pt>
                <c:pt idx="11">
                  <c:v>2.5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1.25</c:v>
                </c:pt>
                <c:pt idx="18">
                  <c:v>36.25</c:v>
                </c:pt>
              </c:numCache>
            </c:numRef>
          </c:val>
        </c:ser>
        <c:ser>
          <c:idx val="5"/>
          <c:order val="3"/>
          <c:invertIfNegative val="0"/>
          <c:cat>
            <c:strRef>
              <c:f>'2011data'!$C$8:$C$26</c:f>
              <c:strCache>
                <c:ptCount val="19"/>
                <c:pt idx="0">
                  <c:v>White: British</c:v>
                </c:pt>
                <c:pt idx="1">
                  <c:v>White: Irish</c:v>
                </c:pt>
                <c:pt idx="2">
                  <c:v>White: Gypsy or Irish Traveller</c:v>
                </c:pt>
                <c:pt idx="3">
                  <c:v>White: Other White</c:v>
                </c:pt>
                <c:pt idx="4">
                  <c:v>Mixed/multiple ethnic group: White and Black Caribbean</c:v>
                </c:pt>
                <c:pt idx="5">
                  <c:v>Mixed/multiple ethnic group: White and Black African</c:v>
                </c:pt>
                <c:pt idx="6">
                  <c:v>Mixed/multiple ethnic group: White and Asian</c:v>
                </c:pt>
                <c:pt idx="7">
                  <c:v>Mixed/multiple ethnic group: Other Mixed</c:v>
                </c:pt>
                <c:pt idx="8">
                  <c:v>Asian/Asian British: Indian</c:v>
                </c:pt>
                <c:pt idx="9">
                  <c:v>Asian/Asian British: Pakistani</c:v>
                </c:pt>
                <c:pt idx="10">
                  <c:v>Asian/Asian British: Bangladeshi</c:v>
                </c:pt>
                <c:pt idx="11">
                  <c:v>Asian/Asian British: Chinese</c:v>
                </c:pt>
                <c:pt idx="12">
                  <c:v>Asian/Asian British: Other Asian</c:v>
                </c:pt>
                <c:pt idx="13">
                  <c:v>Black/African/Caribbean/Black British: African</c:v>
                </c:pt>
                <c:pt idx="14">
                  <c:v>Black/African/Caribbean/Black British: Caribbean</c:v>
                </c:pt>
                <c:pt idx="15">
                  <c:v>Black/African/Caribbean/Black British: Other Black</c:v>
                </c:pt>
                <c:pt idx="16">
                  <c:v>Other ethnic group: Arab</c:v>
                </c:pt>
                <c:pt idx="17">
                  <c:v>Other ethnic group: Any other ethnic group</c:v>
                </c:pt>
                <c:pt idx="18">
                  <c:v>Unknown / prefer not to say</c:v>
                </c:pt>
              </c:strCache>
            </c:strRef>
          </c:cat>
          <c:val>
            <c:numRef>
              <c:f>'2011data'!$K$8:$K$26</c:f>
            </c:numRef>
          </c:val>
        </c:ser>
        <c:ser>
          <c:idx val="6"/>
          <c:order val="4"/>
          <c:tx>
            <c:v>degree of representation on workforce (100 = workforce proportionate to local population)</c:v>
          </c:tx>
          <c:spPr>
            <a:solidFill>
              <a:schemeClr val="bg1">
                <a:lumMod val="75000"/>
              </a:schemeClr>
            </a:solidFill>
            <a:ln w="25400" cap="flat" cmpd="sng" algn="ctr">
              <a:noFill/>
              <a:prstDash val="solid"/>
            </a:ln>
            <a:effectLst/>
          </c:spPr>
          <c:invertIfNegative val="0"/>
          <c:cat>
            <c:strRef>
              <c:f>'2011data'!$C$8:$C$26</c:f>
              <c:strCache>
                <c:ptCount val="19"/>
                <c:pt idx="0">
                  <c:v>White: British</c:v>
                </c:pt>
                <c:pt idx="1">
                  <c:v>White: Irish</c:v>
                </c:pt>
                <c:pt idx="2">
                  <c:v>White: Gypsy or Irish Traveller</c:v>
                </c:pt>
                <c:pt idx="3">
                  <c:v>White: Other White</c:v>
                </c:pt>
                <c:pt idx="4">
                  <c:v>Mixed/multiple ethnic group: White and Black Caribbean</c:v>
                </c:pt>
                <c:pt idx="5">
                  <c:v>Mixed/multiple ethnic group: White and Black African</c:v>
                </c:pt>
                <c:pt idx="6">
                  <c:v>Mixed/multiple ethnic group: White and Asian</c:v>
                </c:pt>
                <c:pt idx="7">
                  <c:v>Mixed/multiple ethnic group: Other Mixed</c:v>
                </c:pt>
                <c:pt idx="8">
                  <c:v>Asian/Asian British: Indian</c:v>
                </c:pt>
                <c:pt idx="9">
                  <c:v>Asian/Asian British: Pakistani</c:v>
                </c:pt>
                <c:pt idx="10">
                  <c:v>Asian/Asian British: Bangladeshi</c:v>
                </c:pt>
                <c:pt idx="11">
                  <c:v>Asian/Asian British: Chinese</c:v>
                </c:pt>
                <c:pt idx="12">
                  <c:v>Asian/Asian British: Other Asian</c:v>
                </c:pt>
                <c:pt idx="13">
                  <c:v>Black/African/Caribbean/Black British: African</c:v>
                </c:pt>
                <c:pt idx="14">
                  <c:v>Black/African/Caribbean/Black British: Caribbean</c:v>
                </c:pt>
                <c:pt idx="15">
                  <c:v>Black/African/Caribbean/Black British: Other Black</c:v>
                </c:pt>
                <c:pt idx="16">
                  <c:v>Other ethnic group: Arab</c:v>
                </c:pt>
                <c:pt idx="17">
                  <c:v>Other ethnic group: Any other ethnic group</c:v>
                </c:pt>
                <c:pt idx="18">
                  <c:v>Unknown / prefer not to say</c:v>
                </c:pt>
              </c:strCache>
            </c:strRef>
          </c:cat>
          <c:val>
            <c:numRef>
              <c:f>'2011data'!$L$8:$L$26</c:f>
              <c:numCache>
                <c:formatCode>0.0</c:formatCode>
                <c:ptCount val="19"/>
                <c:pt idx="0">
                  <c:v>126.10460126526067</c:v>
                </c:pt>
                <c:pt idx="1">
                  <c:v>53.95270534249201</c:v>
                </c:pt>
                <c:pt idx="2">
                  <c:v>0</c:v>
                </c:pt>
                <c:pt idx="3">
                  <c:v>39.320247252956001</c:v>
                </c:pt>
                <c:pt idx="4">
                  <c:v>48.497870519950702</c:v>
                </c:pt>
                <c:pt idx="5">
                  <c:v>33.921900087313624</c:v>
                </c:pt>
                <c:pt idx="6">
                  <c:v>23.752087411734539</c:v>
                </c:pt>
                <c:pt idx="7">
                  <c:v>81.820977347222765</c:v>
                </c:pt>
                <c:pt idx="8">
                  <c:v>34.840665868505191</c:v>
                </c:pt>
                <c:pt idx="9">
                  <c:v>24.712016333037798</c:v>
                </c:pt>
                <c:pt idx="10">
                  <c:v>13.314961340804842</c:v>
                </c:pt>
                <c:pt idx="11">
                  <c:v>23.451765991805331</c:v>
                </c:pt>
                <c:pt idx="12">
                  <c:v>5.6738272094650188</c:v>
                </c:pt>
                <c:pt idx="13">
                  <c:v>37.461775208633377</c:v>
                </c:pt>
                <c:pt idx="14">
                  <c:v>108.16452186325645</c:v>
                </c:pt>
                <c:pt idx="15">
                  <c:v>34.164893640947675</c:v>
                </c:pt>
                <c:pt idx="16">
                  <c:v>0</c:v>
                </c:pt>
                <c:pt idx="17">
                  <c:v>52.43424749644123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50496"/>
        <c:axId val="101452416"/>
      </c:barChart>
      <c:catAx>
        <c:axId val="101450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Office for National Statistics (ONS) labels</a:t>
                </a:r>
              </a:p>
            </c:rich>
          </c:tx>
          <c:layout>
            <c:manualLayout>
              <c:xMode val="edge"/>
              <c:yMode val="edge"/>
              <c:x val="0.25618397995235848"/>
              <c:y val="0.946326761786355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01452416"/>
        <c:crosses val="autoZero"/>
        <c:auto val="1"/>
        <c:lblAlgn val="ctr"/>
        <c:lblOffset val="100"/>
        <c:noMultiLvlLbl val="0"/>
      </c:catAx>
      <c:valAx>
        <c:axId val="101452416"/>
        <c:scaling>
          <c:orientation val="minMax"/>
          <c:max val="150"/>
          <c:min val="0"/>
        </c:scaling>
        <c:delete val="0"/>
        <c:axPos val="l"/>
        <c:majorGridlines>
          <c:spPr>
            <a:ln w="19050"/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Percentage</a:t>
                </a:r>
              </a:p>
            </c:rich>
          </c:tx>
          <c:layout>
            <c:manualLayout>
              <c:xMode val="edge"/>
              <c:yMode val="edge"/>
              <c:x val="4.5967838091035079E-2"/>
              <c:y val="0.27666820594794073"/>
            </c:manualLayout>
          </c:layout>
          <c:overlay val="0"/>
        </c:title>
        <c:numFmt formatCode="#,##0" sourceLinked="0"/>
        <c:majorTickMark val="out"/>
        <c:minorTickMark val="in"/>
        <c:tickLblPos val="nextTo"/>
        <c:spPr>
          <a:noFill/>
          <a:ln w="9525"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1450496"/>
        <c:crosses val="autoZero"/>
        <c:crossBetween val="between"/>
        <c:majorUnit val="50"/>
        <c:minorUnit val="10"/>
      </c:valAx>
    </c:plotArea>
    <c:legend>
      <c:legendPos val="r"/>
      <c:layout>
        <c:manualLayout>
          <c:xMode val="edge"/>
          <c:yMode val="edge"/>
          <c:x val="0.77641315484531981"/>
          <c:y val="8.5886369466974491E-2"/>
          <c:w val="0.22227579959584698"/>
          <c:h val="0.60757563199336928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800"/>
              <a:t>Figure 2</a:t>
            </a:r>
            <a:r>
              <a:rPr lang="en-US" sz="1800" baseline="0"/>
              <a:t>:</a:t>
            </a:r>
            <a:r>
              <a:rPr lang="en-US" sz="1800"/>
              <a:t> Minority e</a:t>
            </a:r>
            <a:r>
              <a:rPr lang="en-US" sz="1800" baseline="0"/>
              <a:t>thnic groups on the Council workforce compared with </a:t>
            </a:r>
          </a:p>
          <a:p>
            <a:pPr>
              <a:defRPr sz="1400"/>
            </a:pPr>
            <a:r>
              <a:rPr lang="en-US" sz="1800" baseline="0"/>
              <a:t>the Oxford and Oxfordshire populations </a:t>
            </a:r>
          </a:p>
        </c:rich>
      </c:tx>
      <c:layout>
        <c:manualLayout>
          <c:xMode val="edge"/>
          <c:yMode val="edge"/>
          <c:x val="0.21952561485369884"/>
          <c:y val="1.1958146487294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54964019908472"/>
          <c:y val="0.10954368372114921"/>
          <c:w val="0.65016133257315434"/>
          <c:h val="0.44501379031656918"/>
        </c:manualLayout>
      </c:layout>
      <c:barChart>
        <c:barDir val="col"/>
        <c:grouping val="clustered"/>
        <c:varyColors val="0"/>
        <c:ser>
          <c:idx val="2"/>
          <c:order val="0"/>
          <c:tx>
            <c:v>Oxford population 2011 census</c:v>
          </c:tx>
          <c:spPr>
            <a:solidFill>
              <a:schemeClr val="accent2"/>
            </a:solidFill>
          </c:spPr>
          <c:invertIfNegative val="0"/>
          <c:cat>
            <c:strRef>
              <c:f>'2011data'!$C$7:$C$24</c:f>
              <c:strCache>
                <c:ptCount val="17"/>
                <c:pt idx="0">
                  <c:v>White: Irish</c:v>
                </c:pt>
                <c:pt idx="1">
                  <c:v>White: Gypsy or Irish Traveller</c:v>
                </c:pt>
                <c:pt idx="2">
                  <c:v>White: Other White</c:v>
                </c:pt>
                <c:pt idx="3">
                  <c:v>Mixed/multiple ethnic group: White and Black Caribbean</c:v>
                </c:pt>
                <c:pt idx="4">
                  <c:v>Mixed/multiple ethnic group: White and Black African</c:v>
                </c:pt>
                <c:pt idx="5">
                  <c:v>Mixed/multiple ethnic group: White and Asian</c:v>
                </c:pt>
                <c:pt idx="6">
                  <c:v>Mixed/multiple ethnic group: Other Mixed</c:v>
                </c:pt>
                <c:pt idx="7">
                  <c:v>Asian/Asian British: Indian</c:v>
                </c:pt>
                <c:pt idx="8">
                  <c:v>Asian/Asian British: Pakistani</c:v>
                </c:pt>
                <c:pt idx="9">
                  <c:v>Asian/Asian British: Bangladeshi</c:v>
                </c:pt>
                <c:pt idx="10">
                  <c:v>Asian/Asian British: Chinese</c:v>
                </c:pt>
                <c:pt idx="11">
                  <c:v>Asian/Asian British: Other Asian</c:v>
                </c:pt>
                <c:pt idx="12">
                  <c:v>Black/African/Caribbean/Black British: African</c:v>
                </c:pt>
                <c:pt idx="13">
                  <c:v>Black/African/Caribbean/Black British: Caribbean</c:v>
                </c:pt>
                <c:pt idx="14">
                  <c:v>Black/African/Caribbean/Black British: Other Black</c:v>
                </c:pt>
                <c:pt idx="15">
                  <c:v>Other ethnic group: Arab</c:v>
                </c:pt>
                <c:pt idx="16">
                  <c:v>Other ethnic group: Any other ethnic group</c:v>
                </c:pt>
              </c:strCache>
            </c:strRef>
          </c:cat>
          <c:val>
            <c:numRef>
              <c:f>'2011data'!$G$7:$G$24</c:f>
              <c:numCache>
                <c:formatCode>0.0</c:formatCode>
                <c:ptCount val="17"/>
                <c:pt idx="0">
                  <c:v>1.6003317841296592</c:v>
                </c:pt>
                <c:pt idx="1">
                  <c:v>6.0563769699682704E-2</c:v>
                </c:pt>
                <c:pt idx="2">
                  <c:v>12.376732979605809</c:v>
                </c:pt>
                <c:pt idx="3">
                  <c:v>1.1329374744908036</c:v>
                </c:pt>
                <c:pt idx="4">
                  <c:v>0.46278619672692323</c:v>
                </c:pt>
                <c:pt idx="5">
                  <c:v>1.3218701038800311</c:v>
                </c:pt>
                <c:pt idx="6">
                  <c:v>1.0552578568325148</c:v>
                </c:pt>
                <c:pt idx="7">
                  <c:v>2.928784906455308</c:v>
                </c:pt>
                <c:pt idx="8">
                  <c:v>3.1763064000105325</c:v>
                </c:pt>
                <c:pt idx="9">
                  <c:v>1.1790186036101273</c:v>
                </c:pt>
                <c:pt idx="10">
                  <c:v>2.3428962647953337</c:v>
                </c:pt>
                <c:pt idx="11">
                  <c:v>2.7668426526931129</c:v>
                </c:pt>
                <c:pt idx="12">
                  <c:v>2.9333930193672404</c:v>
                </c:pt>
                <c:pt idx="13">
                  <c:v>1.233657656708754</c:v>
                </c:pt>
                <c:pt idx="14">
                  <c:v>0.45949468750411437</c:v>
                </c:pt>
                <c:pt idx="15">
                  <c:v>0.60695430068595058</c:v>
                </c:pt>
                <c:pt idx="16">
                  <c:v>0.74848919726673069</c:v>
                </c:pt>
              </c:numCache>
            </c:numRef>
          </c:val>
        </c:ser>
        <c:ser>
          <c:idx val="0"/>
          <c:order val="1"/>
          <c:tx>
            <c:v>Oxfordshire Population 2011 census</c:v>
          </c:tx>
          <c:invertIfNegative val="0"/>
          <c:cat>
            <c:strRef>
              <c:f>'2011data'!$C$7:$C$24</c:f>
              <c:strCache>
                <c:ptCount val="17"/>
                <c:pt idx="0">
                  <c:v>White: Irish</c:v>
                </c:pt>
                <c:pt idx="1">
                  <c:v>White: Gypsy or Irish Traveller</c:v>
                </c:pt>
                <c:pt idx="2">
                  <c:v>White: Other White</c:v>
                </c:pt>
                <c:pt idx="3">
                  <c:v>Mixed/multiple ethnic group: White and Black Caribbean</c:v>
                </c:pt>
                <c:pt idx="4">
                  <c:v>Mixed/multiple ethnic group: White and Black African</c:v>
                </c:pt>
                <c:pt idx="5">
                  <c:v>Mixed/multiple ethnic group: White and Asian</c:v>
                </c:pt>
                <c:pt idx="6">
                  <c:v>Mixed/multiple ethnic group: Other Mixed</c:v>
                </c:pt>
                <c:pt idx="7">
                  <c:v>Asian/Asian British: Indian</c:v>
                </c:pt>
                <c:pt idx="8">
                  <c:v>Asian/Asian British: Pakistani</c:v>
                </c:pt>
                <c:pt idx="9">
                  <c:v>Asian/Asian British: Bangladeshi</c:v>
                </c:pt>
                <c:pt idx="10">
                  <c:v>Asian/Asian British: Chinese</c:v>
                </c:pt>
                <c:pt idx="11">
                  <c:v>Asian/Asian British: Other Asian</c:v>
                </c:pt>
                <c:pt idx="12">
                  <c:v>Black/African/Caribbean/Black British: African</c:v>
                </c:pt>
                <c:pt idx="13">
                  <c:v>Black/African/Caribbean/Black British: Caribbean</c:v>
                </c:pt>
                <c:pt idx="14">
                  <c:v>Black/African/Caribbean/Black British: Other Black</c:v>
                </c:pt>
                <c:pt idx="15">
                  <c:v>Other ethnic group: Arab</c:v>
                </c:pt>
                <c:pt idx="16">
                  <c:v>Other ethnic group: Any other ethnic group</c:v>
                </c:pt>
              </c:strCache>
            </c:strRef>
          </c:cat>
          <c:val>
            <c:numRef>
              <c:f>'2011data'!$E$7:$E$24</c:f>
              <c:numCache>
                <c:formatCode>0.0</c:formatCode>
                <c:ptCount val="17"/>
                <c:pt idx="0">
                  <c:v>0.96</c:v>
                </c:pt>
                <c:pt idx="1">
                  <c:v>0.1</c:v>
                </c:pt>
                <c:pt idx="2">
                  <c:v>6.16</c:v>
                </c:pt>
                <c:pt idx="3">
                  <c:v>0.56999999999999995</c:v>
                </c:pt>
                <c:pt idx="4">
                  <c:v>0.24</c:v>
                </c:pt>
                <c:pt idx="5">
                  <c:v>0.69</c:v>
                </c:pt>
                <c:pt idx="6">
                  <c:v>0.52</c:v>
                </c:pt>
                <c:pt idx="7">
                  <c:v>1.25</c:v>
                </c:pt>
                <c:pt idx="8">
                  <c:v>1.2</c:v>
                </c:pt>
                <c:pt idx="9">
                  <c:v>0.38</c:v>
                </c:pt>
                <c:pt idx="10">
                  <c:v>0.86</c:v>
                </c:pt>
                <c:pt idx="11">
                  <c:v>1.1599999999999999</c:v>
                </c:pt>
                <c:pt idx="12">
                  <c:v>1.08</c:v>
                </c:pt>
                <c:pt idx="13">
                  <c:v>0.47</c:v>
                </c:pt>
                <c:pt idx="14">
                  <c:v>0.2</c:v>
                </c:pt>
                <c:pt idx="15">
                  <c:v>0.21</c:v>
                </c:pt>
                <c:pt idx="16">
                  <c:v>0.32</c:v>
                </c:pt>
              </c:numCache>
            </c:numRef>
          </c:val>
        </c:ser>
        <c:ser>
          <c:idx val="4"/>
          <c:order val="2"/>
          <c:tx>
            <c:v>Council workforce Dec 2015</c:v>
          </c:tx>
          <c:spPr>
            <a:solidFill>
              <a:schemeClr val="accent3"/>
            </a:solidFill>
          </c:spPr>
          <c:invertIfNegative val="0"/>
          <c:cat>
            <c:strRef>
              <c:f>'2011data'!$C$7:$C$24</c:f>
              <c:strCache>
                <c:ptCount val="17"/>
                <c:pt idx="0">
                  <c:v>White: Irish</c:v>
                </c:pt>
                <c:pt idx="1">
                  <c:v>White: Gypsy or Irish Traveller</c:v>
                </c:pt>
                <c:pt idx="2">
                  <c:v>White: Other White</c:v>
                </c:pt>
                <c:pt idx="3">
                  <c:v>Mixed/multiple ethnic group: White and Black Caribbean</c:v>
                </c:pt>
                <c:pt idx="4">
                  <c:v>Mixed/multiple ethnic group: White and Black African</c:v>
                </c:pt>
                <c:pt idx="5">
                  <c:v>Mixed/multiple ethnic group: White and Asian</c:v>
                </c:pt>
                <c:pt idx="6">
                  <c:v>Mixed/multiple ethnic group: Other Mixed</c:v>
                </c:pt>
                <c:pt idx="7">
                  <c:v>Asian/Asian British: Indian</c:v>
                </c:pt>
                <c:pt idx="8">
                  <c:v>Asian/Asian British: Pakistani</c:v>
                </c:pt>
                <c:pt idx="9">
                  <c:v>Asian/Asian British: Bangladeshi</c:v>
                </c:pt>
                <c:pt idx="10">
                  <c:v>Asian/Asian British: Chinese</c:v>
                </c:pt>
                <c:pt idx="11">
                  <c:v>Asian/Asian British: Other Asian</c:v>
                </c:pt>
                <c:pt idx="12">
                  <c:v>Black/African/Caribbean/Black British: African</c:v>
                </c:pt>
                <c:pt idx="13">
                  <c:v>Black/African/Caribbean/Black British: Caribbean</c:v>
                </c:pt>
                <c:pt idx="14">
                  <c:v>Black/African/Caribbean/Black British: Other Black</c:v>
                </c:pt>
                <c:pt idx="15">
                  <c:v>Other ethnic group: Arab</c:v>
                </c:pt>
                <c:pt idx="16">
                  <c:v>Other ethnic group: Any other ethnic group</c:v>
                </c:pt>
              </c:strCache>
            </c:strRef>
          </c:cat>
          <c:val>
            <c:numRef>
              <c:f>'2011data'!$I$7:$I$24</c:f>
              <c:numCache>
                <c:formatCode>0.0</c:formatCode>
                <c:ptCount val="17"/>
                <c:pt idx="0">
                  <c:v>0.86342229199372045</c:v>
                </c:pt>
                <c:pt idx="1">
                  <c:v>0</c:v>
                </c:pt>
                <c:pt idx="2">
                  <c:v>4.8665620094191526</c:v>
                </c:pt>
                <c:pt idx="3">
                  <c:v>0.5494505494505495</c:v>
                </c:pt>
                <c:pt idx="4">
                  <c:v>0.15698587127158556</c:v>
                </c:pt>
                <c:pt idx="5">
                  <c:v>0.31397174254317112</c:v>
                </c:pt>
                <c:pt idx="6">
                  <c:v>0.86342229199372045</c:v>
                </c:pt>
                <c:pt idx="7">
                  <c:v>1.0204081632653061</c:v>
                </c:pt>
                <c:pt idx="8">
                  <c:v>0.78492935635792771</c:v>
                </c:pt>
                <c:pt idx="9">
                  <c:v>0.15698587127158556</c:v>
                </c:pt>
                <c:pt idx="10">
                  <c:v>0.5494505494505495</c:v>
                </c:pt>
                <c:pt idx="11">
                  <c:v>0.15698587127158556</c:v>
                </c:pt>
                <c:pt idx="12">
                  <c:v>1.098901098901099</c:v>
                </c:pt>
                <c:pt idx="13">
                  <c:v>1.3343799058084773</c:v>
                </c:pt>
                <c:pt idx="14">
                  <c:v>0.15698587127158556</c:v>
                </c:pt>
                <c:pt idx="15">
                  <c:v>0</c:v>
                </c:pt>
                <c:pt idx="16">
                  <c:v>0.39246467817896385</c:v>
                </c:pt>
              </c:numCache>
            </c:numRef>
          </c:val>
        </c:ser>
        <c:ser>
          <c:idx val="6"/>
          <c:order val="3"/>
          <c:tx>
            <c:v>New starters on Council workforce Q3 2015-16</c:v>
          </c:tx>
          <c:spPr>
            <a:solidFill>
              <a:schemeClr val="accent4"/>
            </a:solidFill>
          </c:spPr>
          <c:invertIfNegative val="0"/>
          <c:cat>
            <c:strRef>
              <c:f>'2011data'!$C$7:$C$24</c:f>
              <c:strCache>
                <c:ptCount val="17"/>
                <c:pt idx="0">
                  <c:v>White: Irish</c:v>
                </c:pt>
                <c:pt idx="1">
                  <c:v>White: Gypsy or Irish Traveller</c:v>
                </c:pt>
                <c:pt idx="2">
                  <c:v>White: Other White</c:v>
                </c:pt>
                <c:pt idx="3">
                  <c:v>Mixed/multiple ethnic group: White and Black Caribbean</c:v>
                </c:pt>
                <c:pt idx="4">
                  <c:v>Mixed/multiple ethnic group: White and Black African</c:v>
                </c:pt>
                <c:pt idx="5">
                  <c:v>Mixed/multiple ethnic group: White and Asian</c:v>
                </c:pt>
                <c:pt idx="6">
                  <c:v>Mixed/multiple ethnic group: Other Mixed</c:v>
                </c:pt>
                <c:pt idx="7">
                  <c:v>Asian/Asian British: Indian</c:v>
                </c:pt>
                <c:pt idx="8">
                  <c:v>Asian/Asian British: Pakistani</c:v>
                </c:pt>
                <c:pt idx="9">
                  <c:v>Asian/Asian British: Bangladeshi</c:v>
                </c:pt>
                <c:pt idx="10">
                  <c:v>Asian/Asian British: Chinese</c:v>
                </c:pt>
                <c:pt idx="11">
                  <c:v>Asian/Asian British: Other Asian</c:v>
                </c:pt>
                <c:pt idx="12">
                  <c:v>Black/African/Caribbean/Black British: African</c:v>
                </c:pt>
                <c:pt idx="13">
                  <c:v>Black/African/Caribbean/Black British: Caribbean</c:v>
                </c:pt>
                <c:pt idx="14">
                  <c:v>Black/African/Caribbean/Black British: Other Black</c:v>
                </c:pt>
                <c:pt idx="15">
                  <c:v>Other ethnic group: Arab</c:v>
                </c:pt>
                <c:pt idx="16">
                  <c:v>Other ethnic group: Any other ethnic group</c:v>
                </c:pt>
              </c:strCache>
            </c:strRef>
          </c:cat>
          <c:val>
            <c:numRef>
              <c:f>'2011data'!$K$7:$K$24</c:f>
              <c:numCache>
                <c:formatCode>0.0</c:formatCode>
                <c:ptCount val="17"/>
                <c:pt idx="0">
                  <c:v>1.25</c:v>
                </c:pt>
                <c:pt idx="1">
                  <c:v>0</c:v>
                </c:pt>
                <c:pt idx="2">
                  <c:v>5</c:v>
                </c:pt>
                <c:pt idx="3">
                  <c:v>1.25</c:v>
                </c:pt>
                <c:pt idx="4">
                  <c:v>1.25</c:v>
                </c:pt>
                <c:pt idx="5">
                  <c:v>0</c:v>
                </c:pt>
                <c:pt idx="6">
                  <c:v>1.25</c:v>
                </c:pt>
                <c:pt idx="7">
                  <c:v>0</c:v>
                </c:pt>
                <c:pt idx="8">
                  <c:v>0</c:v>
                </c:pt>
                <c:pt idx="9">
                  <c:v>1.25</c:v>
                </c:pt>
                <c:pt idx="10">
                  <c:v>2.5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470976"/>
        <c:axId val="191477248"/>
      </c:barChart>
      <c:catAx>
        <c:axId val="19147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Census category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91477248"/>
        <c:crosses val="autoZero"/>
        <c:auto val="1"/>
        <c:lblAlgn val="ctr"/>
        <c:lblOffset val="100"/>
        <c:noMultiLvlLbl val="0"/>
      </c:catAx>
      <c:valAx>
        <c:axId val="191477248"/>
        <c:scaling>
          <c:orientation val="minMax"/>
          <c:max val="1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Percentage of total</a:t>
                </a:r>
              </a:p>
            </c:rich>
          </c:tx>
          <c:layout>
            <c:manualLayout>
              <c:xMode val="edge"/>
              <c:yMode val="edge"/>
              <c:x val="4.5538725467535728E-2"/>
              <c:y val="0.23203057016976017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9147097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8866988234140345"/>
          <c:y val="0.15950174389636274"/>
          <c:w val="0.19088843982997697"/>
          <c:h val="0.41065671723769953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Figure</a:t>
            </a:r>
            <a:r>
              <a:rPr lang="en-US" sz="1800" baseline="0"/>
              <a:t> 3: </a:t>
            </a:r>
            <a:r>
              <a:rPr lang="en-US" sz="1800"/>
              <a:t>Ethnic groupings on the Council workforce</a:t>
            </a:r>
            <a:r>
              <a:rPr lang="en-US" sz="1800" baseline="0"/>
              <a:t> </a:t>
            </a:r>
            <a:r>
              <a:rPr lang="en-US" sz="1800"/>
              <a:t>by pay grade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41658442379103E-2"/>
          <c:y val="6.7548678508209725E-2"/>
          <c:w val="0.67636395450568676"/>
          <c:h val="0.67724180553012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Sheet1!$H$3</c:f>
              <c:strCache>
                <c:ptCount val="1"/>
                <c:pt idx="0">
                  <c:v>White British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Sheet1!$I$3:$V$3</c:f>
              <c:numCache>
                <c:formatCode>General</c:formatCode>
                <c:ptCount val="14"/>
                <c:pt idx="0">
                  <c:v>15</c:v>
                </c:pt>
                <c:pt idx="1">
                  <c:v>148</c:v>
                </c:pt>
                <c:pt idx="2">
                  <c:v>44</c:v>
                </c:pt>
                <c:pt idx="3">
                  <c:v>196</c:v>
                </c:pt>
                <c:pt idx="4">
                  <c:v>167</c:v>
                </c:pt>
                <c:pt idx="5">
                  <c:v>160</c:v>
                </c:pt>
                <c:pt idx="6">
                  <c:v>113</c:v>
                </c:pt>
                <c:pt idx="7">
                  <c:v>79</c:v>
                </c:pt>
                <c:pt idx="8">
                  <c:v>44</c:v>
                </c:pt>
                <c:pt idx="9">
                  <c:v>19</c:v>
                </c:pt>
                <c:pt idx="10">
                  <c:v>17</c:v>
                </c:pt>
                <c:pt idx="11">
                  <c:v>9</c:v>
                </c:pt>
                <c:pt idx="12">
                  <c:v>7</c:v>
                </c:pt>
                <c:pt idx="1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Sheet1!$H$4</c:f>
              <c:strCache>
                <c:ptCount val="1"/>
                <c:pt idx="0">
                  <c:v>White - all other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Sheet1!$I$4:$V$4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17</c:v>
                </c:pt>
                <c:pt idx="4">
                  <c:v>11</c:v>
                </c:pt>
                <c:pt idx="5">
                  <c:v>20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Sheet1!$H$5</c:f>
              <c:strCache>
                <c:ptCount val="1"/>
                <c:pt idx="0">
                  <c:v>Asian/Asian British inc. Chinese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Sheet1!$I$5:$V$5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11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Sheet1!$H$6</c:f>
              <c:strCache>
                <c:ptCount val="1"/>
                <c:pt idx="0">
                  <c:v>Mixed/multiple ethnic group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Sheet1!$I$6:$V$6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Sheet1!$H$7</c:f>
              <c:strCache>
                <c:ptCount val="1"/>
                <c:pt idx="0">
                  <c:v>Black/African/Caribbean/Black British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Sheet1!$I$7:$V$7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8</c:v>
                </c:pt>
                <c:pt idx="5">
                  <c:v>10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Sheet1!$H$8</c:f>
              <c:strCache>
                <c:ptCount val="1"/>
                <c:pt idx="0">
                  <c:v>Other ethnic group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Sheet1!$I$8:$V$8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Sheet1!$H$9</c:f>
              <c:strCache>
                <c:ptCount val="1"/>
                <c:pt idx="0">
                  <c:v>Prefer not to say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Sheet1!$I$9:$V$9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Sheet1!$H$10</c:f>
              <c:strCache>
                <c:ptCount val="1"/>
                <c:pt idx="0">
                  <c:v>Unknown</c:v>
                </c:pt>
              </c:strCache>
            </c:strRef>
          </c:tx>
          <c:invertIfNegative val="0"/>
          <c:cat>
            <c:strRef>
              <c:f>Sheet1!$I$2:$V$2</c:f>
              <c:strCache>
                <c:ptCount val="14"/>
                <c:pt idx="0">
                  <c:v>All apprentices inc. qualified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Sheet1!$I$10:$V$10</c:f>
              <c:numCache>
                <c:formatCode>General</c:formatCode>
                <c:ptCount val="14"/>
                <c:pt idx="0">
                  <c:v>9</c:v>
                </c:pt>
                <c:pt idx="1">
                  <c:v>7</c:v>
                </c:pt>
                <c:pt idx="2">
                  <c:v>2</c:v>
                </c:pt>
                <c:pt idx="3">
                  <c:v>9</c:v>
                </c:pt>
                <c:pt idx="4">
                  <c:v>16</c:v>
                </c:pt>
                <c:pt idx="5">
                  <c:v>7</c:v>
                </c:pt>
                <c:pt idx="6">
                  <c:v>6</c:v>
                </c:pt>
                <c:pt idx="7">
                  <c:v>3</c:v>
                </c:pt>
                <c:pt idx="8">
                  <c:v>5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026880"/>
        <c:axId val="39261312"/>
      </c:barChart>
      <c:catAx>
        <c:axId val="236026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GB" sz="1400"/>
                  <a:t>Pay grade</a:t>
                </a:r>
              </a:p>
            </c:rich>
          </c:tx>
          <c:layout>
            <c:manualLayout>
              <c:xMode val="edge"/>
              <c:yMode val="edge"/>
              <c:x val="0.35622006072770318"/>
              <c:y val="0.873922968931209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39261312"/>
        <c:crosses val="autoZero"/>
        <c:auto val="1"/>
        <c:lblAlgn val="ctr"/>
        <c:lblOffset val="100"/>
        <c:noMultiLvlLbl val="0"/>
      </c:catAx>
      <c:valAx>
        <c:axId val="39261312"/>
        <c:scaling>
          <c:orientation val="minMax"/>
          <c:max val="2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Number of employees</a:t>
                </a:r>
              </a:p>
            </c:rich>
          </c:tx>
          <c:layout>
            <c:manualLayout>
              <c:xMode val="edge"/>
              <c:yMode val="edge"/>
              <c:x val="2.5337450465750606E-2"/>
              <c:y val="0.30204648110846605"/>
            </c:manualLayout>
          </c:layout>
          <c:overlay val="0"/>
        </c:title>
        <c:numFmt formatCode="General" sourceLinked="1"/>
        <c:majorTickMark val="out"/>
        <c:minorTickMark val="in"/>
        <c:tickLblPos val="nextTo"/>
        <c:crossAx val="236026880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77909875971385945"/>
          <c:y val="0.16158792650918635"/>
          <c:w val="0.21991693685348154"/>
          <c:h val="0.49749526948666301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Figure 4: The proportion of BME and White Other employees </a:t>
            </a:r>
          </a:p>
          <a:p>
            <a:pPr>
              <a:defRPr sz="1800"/>
            </a:pPr>
            <a:r>
              <a:rPr lang="en-US" sz="1800"/>
              <a:t>in each Council service area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58539146021381"/>
          <c:y val="0.11289113132703073"/>
          <c:w val="0.74642371167018751"/>
          <c:h val="0.507831375447001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BME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Sheet1!$C$2:$R$2</c:f>
              <c:strCache>
                <c:ptCount val="16"/>
                <c:pt idx="0">
                  <c:v>Oxford 2011 census (151,906)</c:v>
                </c:pt>
                <c:pt idx="1">
                  <c:v>Oxfordshire 2011 census (653,800)</c:v>
                </c:pt>
                <c:pt idx="2">
                  <c:v>Asst Chief Executive (14)</c:v>
                </c:pt>
                <c:pt idx="3">
                  <c:v>Business Improvement (145)</c:v>
                </c:pt>
                <c:pt idx="4">
                  <c:v>Community Services (121)</c:v>
                </c:pt>
                <c:pt idx="5">
                  <c:v>Community Services Directorate (15)</c:v>
                </c:pt>
                <c:pt idx="6">
                  <c:v>Direct Services (626)</c:v>
                </c:pt>
                <c:pt idx="7">
                  <c:v>Financial Services (111)</c:v>
                </c:pt>
                <c:pt idx="8">
                  <c:v>Housing &amp; Property (109)</c:v>
                </c:pt>
                <c:pt idx="9">
                  <c:v>Law &amp; Governance (26)</c:v>
                </c:pt>
                <c:pt idx="10">
                  <c:v>OD &amp; Corporate Service (17)</c:v>
                </c:pt>
                <c:pt idx="11">
                  <c:v>Planning &amp; Regulatory 63)</c:v>
                </c:pt>
                <c:pt idx="12">
                  <c:v>Regeneration &amp; Housing Directorate (6)</c:v>
                </c:pt>
                <c:pt idx="13">
                  <c:v>Senior Management (4)</c:v>
                </c:pt>
                <c:pt idx="14">
                  <c:v>Total - Council Workforce (1257)</c:v>
                </c:pt>
                <c:pt idx="15">
                  <c:v>Total - non-Direct Services workforce (631)</c:v>
                </c:pt>
              </c:strCache>
            </c:strRef>
          </c:cat>
          <c:val>
            <c:numRef>
              <c:f>Sheet1!$C$3:$R$3</c:f>
              <c:numCache>
                <c:formatCode>General</c:formatCode>
                <c:ptCount val="16"/>
                <c:pt idx="0">
                  <c:v>22.3</c:v>
                </c:pt>
                <c:pt idx="1">
                  <c:v>9.1999999999999993</c:v>
                </c:pt>
                <c:pt idx="2">
                  <c:v>21.4</c:v>
                </c:pt>
                <c:pt idx="3">
                  <c:v>15.9</c:v>
                </c:pt>
                <c:pt idx="4">
                  <c:v>10.7</c:v>
                </c:pt>
                <c:pt idx="5">
                  <c:v>0</c:v>
                </c:pt>
                <c:pt idx="6">
                  <c:v>5.0999999999999996</c:v>
                </c:pt>
                <c:pt idx="7">
                  <c:v>6.3</c:v>
                </c:pt>
                <c:pt idx="8">
                  <c:v>14.7</c:v>
                </c:pt>
                <c:pt idx="9">
                  <c:v>0</c:v>
                </c:pt>
                <c:pt idx="10">
                  <c:v>0</c:v>
                </c:pt>
                <c:pt idx="11">
                  <c:v>6.3</c:v>
                </c:pt>
                <c:pt idx="12">
                  <c:v>0</c:v>
                </c:pt>
                <c:pt idx="13">
                  <c:v>0</c:v>
                </c:pt>
                <c:pt idx="14">
                  <c:v>7.8</c:v>
                </c:pt>
                <c:pt idx="15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White Other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Sheet1!$C$2:$R$2</c:f>
              <c:strCache>
                <c:ptCount val="16"/>
                <c:pt idx="0">
                  <c:v>Oxford 2011 census (151,906)</c:v>
                </c:pt>
                <c:pt idx="1">
                  <c:v>Oxfordshire 2011 census (653,800)</c:v>
                </c:pt>
                <c:pt idx="2">
                  <c:v>Asst Chief Executive (14)</c:v>
                </c:pt>
                <c:pt idx="3">
                  <c:v>Business Improvement (145)</c:v>
                </c:pt>
                <c:pt idx="4">
                  <c:v>Community Services (121)</c:v>
                </c:pt>
                <c:pt idx="5">
                  <c:v>Community Services Directorate (15)</c:v>
                </c:pt>
                <c:pt idx="6">
                  <c:v>Direct Services (626)</c:v>
                </c:pt>
                <c:pt idx="7">
                  <c:v>Financial Services (111)</c:v>
                </c:pt>
                <c:pt idx="8">
                  <c:v>Housing &amp; Property (109)</c:v>
                </c:pt>
                <c:pt idx="9">
                  <c:v>Law &amp; Governance (26)</c:v>
                </c:pt>
                <c:pt idx="10">
                  <c:v>OD &amp; Corporate Service (17)</c:v>
                </c:pt>
                <c:pt idx="11">
                  <c:v>Planning &amp; Regulatory 63)</c:v>
                </c:pt>
                <c:pt idx="12">
                  <c:v>Regeneration &amp; Housing Directorate (6)</c:v>
                </c:pt>
                <c:pt idx="13">
                  <c:v>Senior Management (4)</c:v>
                </c:pt>
                <c:pt idx="14">
                  <c:v>Total - Council Workforce (1257)</c:v>
                </c:pt>
                <c:pt idx="15">
                  <c:v>Total - non-Direct Services workforce (631)</c:v>
                </c:pt>
              </c:strCache>
            </c:strRef>
          </c:cat>
          <c:val>
            <c:numRef>
              <c:f>Sheet1!$C$4:$R$4</c:f>
              <c:numCache>
                <c:formatCode>General</c:formatCode>
                <c:ptCount val="16"/>
                <c:pt idx="0">
                  <c:v>12.4</c:v>
                </c:pt>
                <c:pt idx="1">
                  <c:v>6.2</c:v>
                </c:pt>
                <c:pt idx="2">
                  <c:v>7.2</c:v>
                </c:pt>
                <c:pt idx="3">
                  <c:v>6.2</c:v>
                </c:pt>
                <c:pt idx="4">
                  <c:v>6.6</c:v>
                </c:pt>
                <c:pt idx="5">
                  <c:v>26.6</c:v>
                </c:pt>
                <c:pt idx="6">
                  <c:v>3.9</c:v>
                </c:pt>
                <c:pt idx="7">
                  <c:v>4.5</c:v>
                </c:pt>
                <c:pt idx="8">
                  <c:v>3.6</c:v>
                </c:pt>
                <c:pt idx="9">
                  <c:v>7.7</c:v>
                </c:pt>
                <c:pt idx="10">
                  <c:v>11.7</c:v>
                </c:pt>
                <c:pt idx="11">
                  <c:v>6.3</c:v>
                </c:pt>
                <c:pt idx="12">
                  <c:v>0</c:v>
                </c:pt>
                <c:pt idx="13">
                  <c:v>0</c:v>
                </c:pt>
                <c:pt idx="14">
                  <c:v>5.0999999999999996</c:v>
                </c:pt>
                <c:pt idx="15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053760"/>
        <c:axId val="40092800"/>
      </c:barChart>
      <c:catAx>
        <c:axId val="40053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GB" sz="1400"/>
                  <a:t>Service area (headcount)</a:t>
                </a:r>
              </a:p>
            </c:rich>
          </c:tx>
          <c:layout>
            <c:manualLayout>
              <c:xMode val="edge"/>
              <c:yMode val="edge"/>
              <c:x val="0.3056781094062847"/>
              <c:y val="0.88856526429341964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0092800"/>
        <c:crosses val="autoZero"/>
        <c:auto val="1"/>
        <c:lblAlgn val="ctr"/>
        <c:lblOffset val="100"/>
        <c:noMultiLvlLbl val="0"/>
      </c:catAx>
      <c:valAx>
        <c:axId val="40092800"/>
        <c:scaling>
          <c:orientation val="minMax"/>
          <c:max val="3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GB" sz="1400"/>
                  <a:t>Percentage</a:t>
                </a:r>
                <a:r>
                  <a:rPr lang="en-GB" sz="1400" baseline="0"/>
                  <a:t> of workforce</a:t>
                </a:r>
                <a:endParaRPr lang="en-GB" sz="1400"/>
              </a:p>
            </c:rich>
          </c:tx>
          <c:layout>
            <c:manualLayout>
              <c:xMode val="edge"/>
              <c:yMode val="edge"/>
              <c:x val="2.6885961206068752E-2"/>
              <c:y val="0.205665492971121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005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601369950702"/>
          <c:y val="0.25181930406311365"/>
          <c:w val="0.11587468151846873"/>
          <c:h val="0.1135570571768254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Figure 5</a:t>
            </a:r>
            <a:r>
              <a:rPr lang="en-US" sz="1800" baseline="0"/>
              <a:t>: </a:t>
            </a:r>
            <a:r>
              <a:rPr lang="en-US" sz="1800"/>
              <a:t>Gender composition of the Council workforce </a:t>
            </a:r>
          </a:p>
        </c:rich>
      </c:tx>
      <c:layout>
        <c:manualLayout>
          <c:xMode val="edge"/>
          <c:yMode val="edge"/>
          <c:x val="0.29041831346957114"/>
          <c:y val="1.35265700483091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0345496696177E-2"/>
          <c:y val="8.4947012058275317E-2"/>
          <c:w val="0.71983843459256314"/>
          <c:h val="0.781461447753813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Sheet1!$C$8</c:f>
              <c:strCache>
                <c:ptCount val="1"/>
                <c:pt idx="0">
                  <c:v>Male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Sheet1!$B$9:$B$11</c:f>
              <c:strCache>
                <c:ptCount val="3"/>
                <c:pt idx="0">
                  <c:v>Total Council workforce</c:v>
                </c:pt>
                <c:pt idx="1">
                  <c:v>Direct Services workforce</c:v>
                </c:pt>
                <c:pt idx="2">
                  <c:v>Non-Direct Services workforce</c:v>
                </c:pt>
              </c:strCache>
            </c:strRef>
          </c:cat>
          <c:val>
            <c:numRef>
              <c:f>Sheet1!$C$9:$C$11</c:f>
              <c:numCache>
                <c:formatCode>General</c:formatCode>
                <c:ptCount val="3"/>
                <c:pt idx="0">
                  <c:v>794</c:v>
                </c:pt>
                <c:pt idx="1">
                  <c:v>540</c:v>
                </c:pt>
                <c:pt idx="2">
                  <c:v>254</c:v>
                </c:pt>
              </c:numCache>
            </c:numRef>
          </c:val>
        </c:ser>
        <c:ser>
          <c:idx val="1"/>
          <c:order val="1"/>
          <c:tx>
            <c:strRef>
              <c:f>Sheet1!$D$8</c:f>
              <c:strCache>
                <c:ptCount val="1"/>
                <c:pt idx="0">
                  <c:v>New starter - Male 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Sheet1!$B$9:$B$11</c:f>
              <c:strCache>
                <c:ptCount val="3"/>
                <c:pt idx="0">
                  <c:v>Total Council workforce</c:v>
                </c:pt>
                <c:pt idx="1">
                  <c:v>Direct Services workforce</c:v>
                </c:pt>
                <c:pt idx="2">
                  <c:v>Non-Direct Services workforce</c:v>
                </c:pt>
              </c:strCache>
            </c:strRef>
          </c:cat>
          <c:val>
            <c:numRef>
              <c:f>Sheet1!$D$9:$D$11</c:f>
              <c:numCache>
                <c:formatCode>General</c:formatCode>
                <c:ptCount val="3"/>
                <c:pt idx="0">
                  <c:v>26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Sheet1!$F$8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Sheet1!$B$9:$B$11</c:f>
              <c:strCache>
                <c:ptCount val="3"/>
                <c:pt idx="0">
                  <c:v>Total Council workforce</c:v>
                </c:pt>
                <c:pt idx="1">
                  <c:v>Direct Services workforce</c:v>
                </c:pt>
                <c:pt idx="2">
                  <c:v>Non-Direct Services workforce</c:v>
                </c:pt>
              </c:strCache>
            </c:strRef>
          </c:cat>
          <c:val>
            <c:numRef>
              <c:f>Sheet1!$F$9:$F$11</c:f>
              <c:numCache>
                <c:formatCode>General</c:formatCode>
                <c:ptCount val="3"/>
                <c:pt idx="0">
                  <c:v>408</c:v>
                </c:pt>
                <c:pt idx="1">
                  <c:v>69</c:v>
                </c:pt>
                <c:pt idx="2">
                  <c:v>339</c:v>
                </c:pt>
              </c:numCache>
            </c:numRef>
          </c:val>
        </c:ser>
        <c:ser>
          <c:idx val="3"/>
          <c:order val="3"/>
          <c:tx>
            <c:strRef>
              <c:f>Sheet1!$E$8</c:f>
              <c:strCache>
                <c:ptCount val="1"/>
                <c:pt idx="0">
                  <c:v>New Starter - Female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Sheet1!$B$9:$B$11</c:f>
              <c:strCache>
                <c:ptCount val="3"/>
                <c:pt idx="0">
                  <c:v>Total Council workforce</c:v>
                </c:pt>
                <c:pt idx="1">
                  <c:v>Direct Services workforce</c:v>
                </c:pt>
                <c:pt idx="2">
                  <c:v>Non-Direct Services workforce</c:v>
                </c:pt>
              </c:strCache>
            </c:strRef>
          </c:cat>
          <c:val>
            <c:numRef>
              <c:f>Sheet1!$E$9:$E$11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179200"/>
        <c:axId val="40181120"/>
      </c:barChart>
      <c:catAx>
        <c:axId val="40179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Workforce segment</a:t>
                </a:r>
              </a:p>
            </c:rich>
          </c:tx>
          <c:layout>
            <c:manualLayout>
              <c:xMode val="edge"/>
              <c:yMode val="edge"/>
              <c:x val="0.37216955255282219"/>
              <c:y val="0.94328358208955221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0181120"/>
        <c:crosses val="autoZero"/>
        <c:auto val="1"/>
        <c:lblAlgn val="ctr"/>
        <c:lblOffset val="100"/>
        <c:noMultiLvlLbl val="0"/>
      </c:catAx>
      <c:valAx>
        <c:axId val="40181120"/>
        <c:scaling>
          <c:orientation val="minMax"/>
          <c:max val="15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Number of employees</a:t>
                </a:r>
              </a:p>
            </c:rich>
          </c:tx>
          <c:layout>
            <c:manualLayout>
              <c:xMode val="edge"/>
              <c:yMode val="edge"/>
              <c:x val="2.3947016350582634E-2"/>
              <c:y val="0.363112480505154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0179200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81292138814940118"/>
          <c:y val="0.20147678057655732"/>
          <c:w val="0.17453287148617741"/>
          <c:h val="0.28376248621096278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Figure 6: Gender balance of Council service areas </a:t>
            </a:r>
          </a:p>
          <a:p>
            <a:pPr>
              <a:defRPr sz="1800"/>
            </a:pPr>
            <a:r>
              <a:rPr lang="en-US" sz="1800"/>
              <a:t>(excluding Direct Services)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369887158265798E-2"/>
          <c:y val="0.11080784916232674"/>
          <c:w val="0.77482428995986385"/>
          <c:h val="0.58367988793366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Sheet1!$C$2:$M$2</c:f>
              <c:strCache>
                <c:ptCount val="11"/>
                <c:pt idx="0">
                  <c:v>Asst Chief Executive</c:v>
                </c:pt>
                <c:pt idx="1">
                  <c:v>Business Improvement</c:v>
                </c:pt>
                <c:pt idx="2">
                  <c:v>Community Services</c:v>
                </c:pt>
                <c:pt idx="3">
                  <c:v>Community Services Directorate</c:v>
                </c:pt>
                <c:pt idx="4">
                  <c:v>Financial Services</c:v>
                </c:pt>
                <c:pt idx="5">
                  <c:v>Housing &amp; Property</c:v>
                </c:pt>
                <c:pt idx="6">
                  <c:v>Law &amp; Governance</c:v>
                </c:pt>
                <c:pt idx="7">
                  <c:v>OD &amp; Corporate Service</c:v>
                </c:pt>
                <c:pt idx="8">
                  <c:v>Planning &amp; Regulatory</c:v>
                </c:pt>
                <c:pt idx="9">
                  <c:v>Regeneration &amp; Housing Directorate</c:v>
                </c:pt>
                <c:pt idx="10">
                  <c:v>Senior Management</c:v>
                </c:pt>
              </c:strCache>
            </c:strRef>
          </c:cat>
          <c:val>
            <c:numRef>
              <c:f>Sheet1!$C$3:$M$3</c:f>
              <c:numCache>
                <c:formatCode>General</c:formatCode>
                <c:ptCount val="11"/>
                <c:pt idx="0">
                  <c:v>9</c:v>
                </c:pt>
                <c:pt idx="1">
                  <c:v>97</c:v>
                </c:pt>
                <c:pt idx="2">
                  <c:v>61</c:v>
                </c:pt>
                <c:pt idx="3">
                  <c:v>10</c:v>
                </c:pt>
                <c:pt idx="4">
                  <c:v>63</c:v>
                </c:pt>
                <c:pt idx="5">
                  <c:v>54</c:v>
                </c:pt>
                <c:pt idx="6">
                  <c:v>15</c:v>
                </c:pt>
                <c:pt idx="7">
                  <c:v>9</c:v>
                </c:pt>
                <c:pt idx="8">
                  <c:v>31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Sheet1!$C$2:$M$2</c:f>
              <c:strCache>
                <c:ptCount val="11"/>
                <c:pt idx="0">
                  <c:v>Asst Chief Executive</c:v>
                </c:pt>
                <c:pt idx="1">
                  <c:v>Business Improvement</c:v>
                </c:pt>
                <c:pt idx="2">
                  <c:v>Community Services</c:v>
                </c:pt>
                <c:pt idx="3">
                  <c:v>Community Services Directorate</c:v>
                </c:pt>
                <c:pt idx="4">
                  <c:v>Financial Services</c:v>
                </c:pt>
                <c:pt idx="5">
                  <c:v>Housing &amp; Property</c:v>
                </c:pt>
                <c:pt idx="6">
                  <c:v>Law &amp; Governance</c:v>
                </c:pt>
                <c:pt idx="7">
                  <c:v>OD &amp; Corporate Service</c:v>
                </c:pt>
                <c:pt idx="8">
                  <c:v>Planning &amp; Regulatory</c:v>
                </c:pt>
                <c:pt idx="9">
                  <c:v>Regeneration &amp; Housing Directorate</c:v>
                </c:pt>
                <c:pt idx="10">
                  <c:v>Senior Management</c:v>
                </c:pt>
              </c:strCache>
            </c:strRef>
          </c:cat>
          <c:val>
            <c:numRef>
              <c:f>Sheet1!$C$4:$M$4</c:f>
              <c:numCache>
                <c:formatCode>General</c:formatCode>
                <c:ptCount val="11"/>
                <c:pt idx="0">
                  <c:v>4</c:v>
                </c:pt>
                <c:pt idx="1">
                  <c:v>48</c:v>
                </c:pt>
                <c:pt idx="2">
                  <c:v>54</c:v>
                </c:pt>
                <c:pt idx="3">
                  <c:v>5</c:v>
                </c:pt>
                <c:pt idx="4">
                  <c:v>46</c:v>
                </c:pt>
                <c:pt idx="5">
                  <c:v>52</c:v>
                </c:pt>
                <c:pt idx="6">
                  <c:v>13</c:v>
                </c:pt>
                <c:pt idx="7">
                  <c:v>8</c:v>
                </c:pt>
                <c:pt idx="8">
                  <c:v>31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36544"/>
        <c:axId val="40238464"/>
      </c:barChart>
      <c:catAx>
        <c:axId val="40236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GB" sz="1400"/>
                  <a:t>Council service area</a:t>
                </a:r>
              </a:p>
            </c:rich>
          </c:tx>
          <c:layout>
            <c:manualLayout>
              <c:xMode val="edge"/>
              <c:yMode val="edge"/>
              <c:x val="0.33934185234145003"/>
              <c:y val="0.9258375604603829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0238464"/>
        <c:crosses val="autoZero"/>
        <c:auto val="1"/>
        <c:lblAlgn val="ctr"/>
        <c:lblOffset val="100"/>
        <c:noMultiLvlLbl val="0"/>
      </c:catAx>
      <c:valAx>
        <c:axId val="40238464"/>
        <c:scaling>
          <c:orientation val="minMax"/>
          <c:max val="10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Number of employees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236544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87088595443079342"/>
          <c:y val="0.27682523902589645"/>
          <c:w val="8.8775600130275689E-2"/>
          <c:h val="9.4431978386121412E-2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Figure 7: Gender balance of the Council workforce by pay grade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323458101461645E-2"/>
          <c:y val="8.95322205950463E-2"/>
          <c:w val="0.77149180399370909"/>
          <c:h val="0.6260823947862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Sheet1!$Q$3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Sheet1!$R$2:$AE$2</c:f>
              <c:strCache>
                <c:ptCount val="14"/>
                <c:pt idx="0">
                  <c:v>All apprentices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Sheet1!$R$3:$AE$3</c:f>
              <c:numCache>
                <c:formatCode>General</c:formatCode>
                <c:ptCount val="14"/>
                <c:pt idx="0">
                  <c:v>12</c:v>
                </c:pt>
                <c:pt idx="1">
                  <c:v>153</c:v>
                </c:pt>
                <c:pt idx="2">
                  <c:v>35</c:v>
                </c:pt>
                <c:pt idx="3">
                  <c:v>178</c:v>
                </c:pt>
                <c:pt idx="4">
                  <c:v>131</c:v>
                </c:pt>
                <c:pt idx="5">
                  <c:v>113</c:v>
                </c:pt>
                <c:pt idx="6">
                  <c:v>68</c:v>
                </c:pt>
                <c:pt idx="7">
                  <c:v>53</c:v>
                </c:pt>
                <c:pt idx="8">
                  <c:v>28</c:v>
                </c:pt>
                <c:pt idx="9">
                  <c:v>15</c:v>
                </c:pt>
                <c:pt idx="10">
                  <c:v>13</c:v>
                </c:pt>
                <c:pt idx="11">
                  <c:v>10</c:v>
                </c:pt>
                <c:pt idx="12">
                  <c:v>8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Sheet1!$Q$4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Sheet1!$R$2:$AE$2</c:f>
              <c:strCache>
                <c:ptCount val="14"/>
                <c:pt idx="0">
                  <c:v>All apprentices</c:v>
                </c:pt>
                <c:pt idx="1">
                  <c:v>All Craft Workers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Grade 11</c:v>
                </c:pt>
                <c:pt idx="11">
                  <c:v>Service Manager+ / Business Lead</c:v>
                </c:pt>
                <c:pt idx="12">
                  <c:v>Service Head / Service Head+</c:v>
                </c:pt>
                <c:pt idx="13">
                  <c:v>Chief Executive and Directors</c:v>
                </c:pt>
              </c:strCache>
            </c:strRef>
          </c:cat>
          <c:val>
            <c:numRef>
              <c:f>Sheet1!$R$4:$AE$4</c:f>
              <c:numCache>
                <c:formatCode>General</c:formatCode>
                <c:ptCount val="14"/>
                <c:pt idx="0">
                  <c:v>7</c:v>
                </c:pt>
                <c:pt idx="1">
                  <c:v>2</c:v>
                </c:pt>
                <c:pt idx="2">
                  <c:v>19</c:v>
                </c:pt>
                <c:pt idx="3">
                  <c:v>53</c:v>
                </c:pt>
                <c:pt idx="4">
                  <c:v>98</c:v>
                </c:pt>
                <c:pt idx="5">
                  <c:v>102</c:v>
                </c:pt>
                <c:pt idx="6">
                  <c:v>65</c:v>
                </c:pt>
                <c:pt idx="7">
                  <c:v>37</c:v>
                </c:pt>
                <c:pt idx="8">
                  <c:v>22</c:v>
                </c:pt>
                <c:pt idx="9">
                  <c:v>6</c:v>
                </c:pt>
                <c:pt idx="10">
                  <c:v>11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52736"/>
        <c:axId val="44854656"/>
      </c:barChart>
      <c:catAx>
        <c:axId val="44852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Pay grade</a:t>
                </a:r>
              </a:p>
            </c:rich>
          </c:tx>
          <c:layout>
            <c:manualLayout>
              <c:xMode val="edge"/>
              <c:yMode val="edge"/>
              <c:x val="0.43269846180818755"/>
              <c:y val="0.8837852011679499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44854656"/>
        <c:crosses val="autoZero"/>
        <c:auto val="1"/>
        <c:lblAlgn val="ctr"/>
        <c:lblOffset val="100"/>
        <c:noMultiLvlLbl val="0"/>
      </c:catAx>
      <c:valAx>
        <c:axId val="44854656"/>
        <c:scaling>
          <c:orientation val="minMax"/>
          <c:max val="18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Number of employees</a:t>
                </a:r>
              </a:p>
            </c:rich>
          </c:tx>
          <c:layout>
            <c:manualLayout>
              <c:xMode val="edge"/>
              <c:yMode val="edge"/>
              <c:x val="5.2518068672500985E-3"/>
              <c:y val="0.245736543801590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85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86000723516599"/>
          <c:y val="0.29052942295256573"/>
          <c:w val="0.12164910471235087"/>
          <c:h val="0.16256502719768726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Figure 8: Average hourly pay by gender and service area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99273266024229E-2"/>
          <c:y val="8.5184924023800498E-2"/>
          <c:w val="0.77001634326500978"/>
          <c:h val="0.588104621250701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Sheet1!$B$2:$O$2</c:f>
              <c:strCache>
                <c:ptCount val="14"/>
                <c:pt idx="0">
                  <c:v>Asst Chief Executive</c:v>
                </c:pt>
                <c:pt idx="1">
                  <c:v>Business Improvement</c:v>
                </c:pt>
                <c:pt idx="2">
                  <c:v>Community Services</c:v>
                </c:pt>
                <c:pt idx="3">
                  <c:v>Community Services Directorate</c:v>
                </c:pt>
                <c:pt idx="4">
                  <c:v>Direct Services</c:v>
                </c:pt>
                <c:pt idx="5">
                  <c:v>Financial Services</c:v>
                </c:pt>
                <c:pt idx="6">
                  <c:v>Housing &amp; Property</c:v>
                </c:pt>
                <c:pt idx="7">
                  <c:v>Law &amp; Governance</c:v>
                </c:pt>
                <c:pt idx="8">
                  <c:v>OD &amp; Corporate Service</c:v>
                </c:pt>
                <c:pt idx="9">
                  <c:v>Planning &amp; Regulatory</c:v>
                </c:pt>
                <c:pt idx="10">
                  <c:v>Regeneration &amp; Housing Directorate</c:v>
                </c:pt>
                <c:pt idx="11">
                  <c:v>Senior Management</c:v>
                </c:pt>
                <c:pt idx="12">
                  <c:v>Average - all staff</c:v>
                </c:pt>
                <c:pt idx="13">
                  <c:v>Average - full time  staff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17.46</c:v>
                </c:pt>
                <c:pt idx="1">
                  <c:v>15.41</c:v>
                </c:pt>
                <c:pt idx="2">
                  <c:v>16.07</c:v>
                </c:pt>
                <c:pt idx="3">
                  <c:v>16.920000000000002</c:v>
                </c:pt>
                <c:pt idx="4">
                  <c:v>14.07</c:v>
                </c:pt>
                <c:pt idx="5">
                  <c:v>16.149999999999999</c:v>
                </c:pt>
                <c:pt idx="6">
                  <c:v>19.04</c:v>
                </c:pt>
                <c:pt idx="7">
                  <c:v>23.7</c:v>
                </c:pt>
                <c:pt idx="8">
                  <c:v>23.25</c:v>
                </c:pt>
                <c:pt idx="9">
                  <c:v>18.41</c:v>
                </c:pt>
                <c:pt idx="10">
                  <c:v>22.5</c:v>
                </c:pt>
                <c:pt idx="11">
                  <c:v>65.69</c:v>
                </c:pt>
                <c:pt idx="12">
                  <c:v>15.36</c:v>
                </c:pt>
                <c:pt idx="13">
                  <c:v>15.36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Sheet1!$B$2:$O$2</c:f>
              <c:strCache>
                <c:ptCount val="14"/>
                <c:pt idx="0">
                  <c:v>Asst Chief Executive</c:v>
                </c:pt>
                <c:pt idx="1">
                  <c:v>Business Improvement</c:v>
                </c:pt>
                <c:pt idx="2">
                  <c:v>Community Services</c:v>
                </c:pt>
                <c:pt idx="3">
                  <c:v>Community Services Directorate</c:v>
                </c:pt>
                <c:pt idx="4">
                  <c:v>Direct Services</c:v>
                </c:pt>
                <c:pt idx="5">
                  <c:v>Financial Services</c:v>
                </c:pt>
                <c:pt idx="6">
                  <c:v>Housing &amp; Property</c:v>
                </c:pt>
                <c:pt idx="7">
                  <c:v>Law &amp; Governance</c:v>
                </c:pt>
                <c:pt idx="8">
                  <c:v>OD &amp; Corporate Service</c:v>
                </c:pt>
                <c:pt idx="9">
                  <c:v>Planning &amp; Regulatory</c:v>
                </c:pt>
                <c:pt idx="10">
                  <c:v>Regeneration &amp; Housing Directorate</c:v>
                </c:pt>
                <c:pt idx="11">
                  <c:v>Senior Management</c:v>
                </c:pt>
                <c:pt idx="12">
                  <c:v>Average - all staff</c:v>
                </c:pt>
                <c:pt idx="13">
                  <c:v>Average - full time  staff</c:v>
                </c:pt>
              </c:strCache>
            </c:strRef>
          </c:cat>
          <c:val>
            <c:numRef>
              <c:f>Sheet1!$B$4:$O$4</c:f>
              <c:numCache>
                <c:formatCode>General</c:formatCode>
                <c:ptCount val="14"/>
                <c:pt idx="0">
                  <c:v>21.99</c:v>
                </c:pt>
                <c:pt idx="1">
                  <c:v>13.9</c:v>
                </c:pt>
                <c:pt idx="2">
                  <c:v>14.26</c:v>
                </c:pt>
                <c:pt idx="3">
                  <c:v>18.8</c:v>
                </c:pt>
                <c:pt idx="4">
                  <c:v>13.57</c:v>
                </c:pt>
                <c:pt idx="5">
                  <c:v>15.67</c:v>
                </c:pt>
                <c:pt idx="6">
                  <c:v>16.54</c:v>
                </c:pt>
                <c:pt idx="7">
                  <c:v>17.97</c:v>
                </c:pt>
                <c:pt idx="8">
                  <c:v>16.52</c:v>
                </c:pt>
                <c:pt idx="9">
                  <c:v>17.21</c:v>
                </c:pt>
                <c:pt idx="10">
                  <c:v>32.25</c:v>
                </c:pt>
                <c:pt idx="11">
                  <c:v>59.4</c:v>
                </c:pt>
                <c:pt idx="12">
                  <c:v>15.4</c:v>
                </c:pt>
                <c:pt idx="13">
                  <c:v>15.69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50752"/>
        <c:axId val="45452672"/>
      </c:barChart>
      <c:catAx>
        <c:axId val="45450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Council service area</a:t>
                </a:r>
              </a:p>
            </c:rich>
          </c:tx>
          <c:layout>
            <c:manualLayout>
              <c:xMode val="edge"/>
              <c:yMode val="edge"/>
              <c:x val="0.27804937739337615"/>
              <c:y val="0.89594964808503419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5452672"/>
        <c:crosses val="autoZero"/>
        <c:auto val="1"/>
        <c:lblAlgn val="ctr"/>
        <c:lblOffset val="100"/>
        <c:noMultiLvlLbl val="0"/>
      </c:catAx>
      <c:valAx>
        <c:axId val="45452672"/>
        <c:scaling>
          <c:orientation val="minMax"/>
          <c:max val="7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Hourly pay (£)</a:t>
                </a:r>
              </a:p>
            </c:rich>
          </c:tx>
          <c:layout>
            <c:manualLayout>
              <c:xMode val="edge"/>
              <c:yMode val="edge"/>
              <c:x val="2.8640276270451532E-2"/>
              <c:y val="0.295013874338669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545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33576044929872"/>
          <c:y val="0.24750633638606334"/>
          <c:w val="8.2736433810483956E-2"/>
          <c:h val="9.067349168418623E-2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GB" sz="1800"/>
              <a:t>Figure 9: Gender balance</a:t>
            </a:r>
            <a:r>
              <a:rPr lang="en-GB" sz="1800" baseline="0"/>
              <a:t> of minority ethnic groups on the Council workforce </a:t>
            </a:r>
            <a:endParaRPr lang="en-GB" sz="1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01367478849904"/>
          <c:y val="8.0051279717202981E-2"/>
          <c:w val="0.7602688612842845"/>
          <c:h val="0.51801329024623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Sheet1!$H$2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Sheet1!$G$3:$G$20</c:f>
              <c:strCache>
                <c:ptCount val="18"/>
                <c:pt idx="0">
                  <c:v>White: Irish</c:v>
                </c:pt>
                <c:pt idx="1">
                  <c:v>White: Gypsy or Irish Traveller</c:v>
                </c:pt>
                <c:pt idx="2">
                  <c:v>White: Other White</c:v>
                </c:pt>
                <c:pt idx="3">
                  <c:v>Mixed/multiple ethnic group: White and Black Caribbean</c:v>
                </c:pt>
                <c:pt idx="4">
                  <c:v>Mixed/multiple ethnic group: White and Black African</c:v>
                </c:pt>
                <c:pt idx="5">
                  <c:v>Mixed/multiple ethnic group: White and Asian</c:v>
                </c:pt>
                <c:pt idx="6">
                  <c:v>Mixed/multiple ethnic group: Other Mixed</c:v>
                </c:pt>
                <c:pt idx="7">
                  <c:v>Asian/Asian British: Indian</c:v>
                </c:pt>
                <c:pt idx="8">
                  <c:v>Asian/Asian British: Pakistani</c:v>
                </c:pt>
                <c:pt idx="9">
                  <c:v>Asian/Asian British: Bangladeshi</c:v>
                </c:pt>
                <c:pt idx="10">
                  <c:v>Asian/Asian British: Chinese</c:v>
                </c:pt>
                <c:pt idx="11">
                  <c:v>Asian/Asian British: Other Asian</c:v>
                </c:pt>
                <c:pt idx="12">
                  <c:v>Black/African/Caribbean/Black British: African</c:v>
                </c:pt>
                <c:pt idx="13">
                  <c:v>Black/African/Caribbean/Black British: Caribbean</c:v>
                </c:pt>
                <c:pt idx="14">
                  <c:v>Black/African/Caribbean/Black British: Other Black</c:v>
                </c:pt>
                <c:pt idx="15">
                  <c:v>Other ethnic group: Arab</c:v>
                </c:pt>
                <c:pt idx="16">
                  <c:v>Other ethnic group: Any other ethnic group</c:v>
                </c:pt>
                <c:pt idx="17">
                  <c:v>Prefer not to say</c:v>
                </c:pt>
              </c:strCache>
            </c:strRef>
          </c:cat>
          <c:val>
            <c:numRef>
              <c:f>Sheet1!$H$3:$H$20</c:f>
              <c:numCache>
                <c:formatCode>General</c:formatCode>
                <c:ptCount val="18"/>
                <c:pt idx="0">
                  <c:v>6</c:v>
                </c:pt>
                <c:pt idx="1">
                  <c:v>0</c:v>
                </c:pt>
                <c:pt idx="2">
                  <c:v>32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9</c:v>
                </c:pt>
                <c:pt idx="13">
                  <c:v>12</c:v>
                </c:pt>
                <c:pt idx="14">
                  <c:v>2</c:v>
                </c:pt>
                <c:pt idx="15">
                  <c:v>0</c:v>
                </c:pt>
                <c:pt idx="16">
                  <c:v>3</c:v>
                </c:pt>
                <c:pt idx="1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Sheet1!$I$2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Sheet1!$G$3:$G$20</c:f>
              <c:strCache>
                <c:ptCount val="18"/>
                <c:pt idx="0">
                  <c:v>White: Irish</c:v>
                </c:pt>
                <c:pt idx="1">
                  <c:v>White: Gypsy or Irish Traveller</c:v>
                </c:pt>
                <c:pt idx="2">
                  <c:v>White: Other White</c:v>
                </c:pt>
                <c:pt idx="3">
                  <c:v>Mixed/multiple ethnic group: White and Black Caribbean</c:v>
                </c:pt>
                <c:pt idx="4">
                  <c:v>Mixed/multiple ethnic group: White and Black African</c:v>
                </c:pt>
                <c:pt idx="5">
                  <c:v>Mixed/multiple ethnic group: White and Asian</c:v>
                </c:pt>
                <c:pt idx="6">
                  <c:v>Mixed/multiple ethnic group: Other Mixed</c:v>
                </c:pt>
                <c:pt idx="7">
                  <c:v>Asian/Asian British: Indian</c:v>
                </c:pt>
                <c:pt idx="8">
                  <c:v>Asian/Asian British: Pakistani</c:v>
                </c:pt>
                <c:pt idx="9">
                  <c:v>Asian/Asian British: Bangladeshi</c:v>
                </c:pt>
                <c:pt idx="10">
                  <c:v>Asian/Asian British: Chinese</c:v>
                </c:pt>
                <c:pt idx="11">
                  <c:v>Asian/Asian British: Other Asian</c:v>
                </c:pt>
                <c:pt idx="12">
                  <c:v>Black/African/Caribbean/Black British: African</c:v>
                </c:pt>
                <c:pt idx="13">
                  <c:v>Black/African/Caribbean/Black British: Caribbean</c:v>
                </c:pt>
                <c:pt idx="14">
                  <c:v>Black/African/Caribbean/Black British: Other Black</c:v>
                </c:pt>
                <c:pt idx="15">
                  <c:v>Other ethnic group: Arab</c:v>
                </c:pt>
                <c:pt idx="16">
                  <c:v>Other ethnic group: Any other ethnic group</c:v>
                </c:pt>
                <c:pt idx="17">
                  <c:v>Prefer not to say</c:v>
                </c:pt>
              </c:strCache>
            </c:strRef>
          </c:cat>
          <c:val>
            <c:numRef>
              <c:f>Sheet1!$I$3:$I$20</c:f>
              <c:numCache>
                <c:formatCode>General</c:formatCode>
                <c:ptCount val="18"/>
                <c:pt idx="0">
                  <c:v>5</c:v>
                </c:pt>
                <c:pt idx="1">
                  <c:v>0</c:v>
                </c:pt>
                <c:pt idx="2">
                  <c:v>30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7</c:v>
                </c:pt>
                <c:pt idx="8">
                  <c:v>4</c:v>
                </c:pt>
                <c:pt idx="9">
                  <c:v>1</c:v>
                </c:pt>
                <c:pt idx="10">
                  <c:v>6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74560"/>
        <c:axId val="45476480"/>
      </c:barChart>
      <c:catAx>
        <c:axId val="45474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GB" sz="1400"/>
                  <a:t>Census category</a:t>
                </a:r>
              </a:p>
            </c:rich>
          </c:tx>
          <c:layout>
            <c:manualLayout>
              <c:xMode val="edge"/>
              <c:yMode val="edge"/>
              <c:x val="0.4426003073630731"/>
              <c:y val="0.94335570469798657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45476480"/>
        <c:crosses val="autoZero"/>
        <c:auto val="1"/>
        <c:lblAlgn val="ctr"/>
        <c:lblOffset val="100"/>
        <c:noMultiLvlLbl val="0"/>
      </c:catAx>
      <c:valAx>
        <c:axId val="4547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Number of employees</a:t>
                </a:r>
              </a:p>
            </c:rich>
          </c:tx>
          <c:layout>
            <c:manualLayout>
              <c:xMode val="edge"/>
              <c:yMode val="edge"/>
              <c:x val="2.9459338211407268E-2"/>
              <c:y val="0.232624823631150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547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66916242542369"/>
          <c:y val="0.2200656926554701"/>
          <c:w val="8.6571477190105661E-2"/>
          <c:h val="0.15816925340979779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0934-8AF6-44CC-BABA-6877D566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7</cp:revision>
  <dcterms:created xsi:type="dcterms:W3CDTF">2016-05-05T14:39:00Z</dcterms:created>
  <dcterms:modified xsi:type="dcterms:W3CDTF">2016-06-03T09:45:00Z</dcterms:modified>
</cp:coreProperties>
</file>